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449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723"/>
        <w:gridCol w:w="4726"/>
      </w:tblGrid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Apstiprin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ts  Virsvaldes 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ē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20.04.2018.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LATVIJAS KANOE FEDER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CIJAS BUD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ETS 2018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FINANS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JUMA AVOTS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Ā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EUR</w:t>
            </w:r>
          </w:p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1.LATVIJAS SPORTA FEDER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CIJU PADOME: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(SPORTA PAS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KUMI)                                                23026  </w:t>
            </w:r>
          </w:p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2.LATVIJAS SPORTA FEDER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CIJU APADOME:               25465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(treneru algas par sasniegumiem)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3.LOK (b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ze)                                         :                21000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4.LOK(p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c sasniegumiem)                      :               28220  </w:t>
            </w:r>
          </w:p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94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                                   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:                            97711</w:t>
            </w:r>
          </w:p>
        </w:tc>
      </w:tr>
      <w:tr>
        <w:tblPrEx>
          <w:shd w:val="clear" w:color="auto" w:fill="d0ddef"/>
        </w:tblPrEx>
        <w:trPr>
          <w:trHeight w:val="81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4"/>
                <w:szCs w:val="34"/>
                <w:u w:val="none" w:color="000000"/>
                <w:vertAlign w:val="baseline"/>
                <w:rtl w:val="0"/>
              </w:rPr>
              <w:t>LKF IZDEVUMI pl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4"/>
                <w:szCs w:val="34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4"/>
                <w:szCs w:val="34"/>
                <w:u w:val="none" w:color="000000"/>
                <w:vertAlign w:val="baseline"/>
                <w:rtl w:val="0"/>
              </w:rPr>
              <w:t>notie 2018.gads: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LKF konference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(435,50 kafijas galds+175,03 z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les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ī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re=610,53) 389,47 -2018.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Pasta pakalpojumi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STARPTAUTISK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 IZMAKSAS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BANKAS KOMISIJAS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GENER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LSEKRET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RS(ALGA+NODOK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Ļ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I)12.M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N.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917.09 X12=11005.08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BIROJS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209,23 x12=2510,76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BIROJA KOMUN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LIE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70,80x12= 849.60</w:t>
            </w:r>
          </w:p>
        </w:tc>
      </w:tr>
      <w:tr>
        <w:tblPrEx>
          <w:shd w:val="clear" w:color="auto" w:fill="d0ddef"/>
        </w:tblPrEx>
        <w:trPr>
          <w:trHeight w:val="49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GR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MATVED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Ī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BAS PAKALPOJUMI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272,25x4=1089 un 217,80x8=1742,4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:2831,40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LMT MODEMS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26,80x12=321,60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DOM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NS CANOE.LV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150</w:t>
            </w:r>
          </w:p>
        </w:tc>
      </w:tr>
      <w:tr>
        <w:tblPrEx>
          <w:shd w:val="clear" w:color="auto" w:fill="d0ddef"/>
        </w:tblPrEx>
        <w:trPr>
          <w:trHeight w:val="49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KANCELEJAS ,BIROJA PRECES.prezent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cijas izd.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1331,56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22300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>IE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>ŅĒ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  <w:lang w:val="fr-FR"/>
              </w:rPr>
              <w:t>MUMI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BIEDRU NAUDAS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6300 (GA  27x150=4050) (ASA 15x150=2250)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LICENCES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3200     (GA 2400) (ASA 800)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IEN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ŅĒ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MUMI 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9500</w:t>
            </w:r>
          </w:p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</w:rPr>
              <w:t>JAIS LKF  BUD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</w:rPr>
              <w:t>ETS 2018.G.: 107 211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3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SADAL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Ī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JUMS PA APVIEN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Ī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B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M: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GA BUD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ETS: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ASA BUD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ETS: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LSFP (SPORTA PAS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KUMI)   19176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LSFP (SPORTA PAS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KUMI) 2550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LSFP(ALGAS)   25465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LOK:(P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 KRIT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RIJIEM) 28220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Biedru nauda  :4050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Biedru nauda:2250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Licences: 2400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Licences:800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    79311</w:t>
            </w:r>
          </w:p>
        </w:tc>
        <w:tc>
          <w:tcPr>
            <w:tcW w:type="dxa" w:w="4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Ā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:5600</w:t>
            </w:r>
          </w:p>
        </w:tc>
      </w:tr>
    </w:tbl>
    <w:p>
      <w:pPr>
        <w:pStyle w:val="Body"/>
        <w:spacing w:after="0" w:line="240" w:lineRule="auto"/>
        <w:jc w:val="right"/>
      </w:pPr>
    </w:p>
    <w:p>
      <w:pPr>
        <w:pStyle w:val="Body"/>
        <w:spacing w:after="0" w:line="240" w:lineRule="auto"/>
        <w:jc w:val="right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